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FB4F" w14:textId="3E2357AC" w:rsidR="004F6224" w:rsidRDefault="00AD30B0">
      <w:pPr>
        <w:pStyle w:val="P68B1DB1-Normal1"/>
        <w:jc w:val="center"/>
      </w:pPr>
      <w:r>
        <w:t xml:space="preserve">Revisión posterior a la acción </w:t>
      </w:r>
    </w:p>
    <w:p w14:paraId="4AD68BE9" w14:textId="77777777" w:rsidR="00AD30B0" w:rsidRPr="00AD30B0" w:rsidRDefault="00AD30B0" w:rsidP="00AD30B0">
      <w:pPr>
        <w:rPr>
          <w:b/>
          <w:bCs/>
        </w:rPr>
      </w:pPr>
      <w:r w:rsidRPr="00AD30B0">
        <w:rPr>
          <w:b/>
          <w:bCs/>
        </w:rPr>
        <w:t>Agradecimientos</w:t>
      </w:r>
    </w:p>
    <w:p w14:paraId="62166049" w14:textId="32381BD0" w:rsidR="004F6224" w:rsidRDefault="00AD30B0" w:rsidP="00AD30B0">
      <w:r w:rsidRPr="00AD30B0">
        <w:t>Este contenido ha sido creado por el Programa de Desarrollo Profesional de Fauna y Flora</w:t>
      </w:r>
      <w:r w:rsidR="00500228">
        <w:t>.</w:t>
      </w:r>
    </w:p>
    <w:p w14:paraId="4E72DD49" w14:textId="77777777" w:rsidR="004F6224" w:rsidRDefault="00AD30B0">
      <w:pPr>
        <w:pStyle w:val="P68B1DB1-Normal2"/>
        <w:spacing w:line="300" w:lineRule="atLeast"/>
        <w:jc w:val="both"/>
      </w:pPr>
      <w:r>
        <w:t>¿Qué es una Revisión Posterior a la Acción (AAR)?</w:t>
      </w:r>
    </w:p>
    <w:p w14:paraId="3AD1260D" w14:textId="77777777" w:rsidR="004F6224" w:rsidRDefault="00AD30B0">
      <w:pPr>
        <w:spacing w:line="300" w:lineRule="atLeast"/>
        <w:jc w:val="both"/>
      </w:pPr>
      <w:r>
        <w:t>Una Revisión Posterior a la Acción (AAR) es un proceso simple utilizado por un equipo para capturar las lecciones aprendidas de éxitos y fracasos pasados, con el objetivo de mejorar el desempeño futuro. Es una oportunidad para que un equipo reflexione sobre un proyecto, actividad, evento o tarea para que pueda hacerlo mejor la próxima vez. También se puede emplear en el curso de un proyecto para aprender mientras se hace. Las AAR deben llevarse a cabo con un espíritu abierto y sin intención de culpar.</w:t>
      </w:r>
    </w:p>
    <w:p w14:paraId="3897823D" w14:textId="77777777" w:rsidR="004F6224" w:rsidRDefault="00AD30B0">
      <w:pPr>
        <w:spacing w:line="300" w:lineRule="atLeast"/>
        <w:jc w:val="both"/>
      </w:pPr>
      <w:r>
        <w:t xml:space="preserve">La aplicación de las AAR en toda una organización puede ayudar a impulsar el cambio organizacional. Además de convertir el aprendizaje inconsciente en tácito, ayuda a generar confianza entre los miembros del equipo y a superar el miedo a los errores. </w:t>
      </w:r>
    </w:p>
    <w:p w14:paraId="6416AE80" w14:textId="01D34F3C" w:rsidR="004F6224" w:rsidRDefault="00AD30B0">
      <w:pPr>
        <w:pStyle w:val="P68B1DB1-Normal3"/>
        <w:spacing w:line="300" w:lineRule="atLeast"/>
        <w:jc w:val="both"/>
      </w:pPr>
      <w:r>
        <w:t>Puede ser una breve y frecuente verificación grupal de los procesos o una exploración extensa y en profundidad</w:t>
      </w:r>
    </w:p>
    <w:p w14:paraId="2C71434F" w14:textId="77777777" w:rsidR="004F6224" w:rsidRDefault="00AD30B0">
      <w:pPr>
        <w:pStyle w:val="P68B1DB1-Normal3"/>
        <w:spacing w:line="300" w:lineRule="atLeast"/>
        <w:jc w:val="both"/>
        <w:rPr>
          <w:rFonts w:ascii="Arial" w:eastAsia="Arial" w:hAnsi="Arial" w:cs="Arial"/>
          <w:sz w:val="20"/>
        </w:rPr>
      </w:pPr>
      <w:r>
        <w:t>Las preguntas que se pueden discutir son:</w:t>
      </w:r>
    </w:p>
    <w:tbl>
      <w:tblPr>
        <w:tblStyle w:val="PlainTable2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4155"/>
        <w:gridCol w:w="3390"/>
      </w:tblGrid>
      <w:tr w:rsidR="004F6224" w14:paraId="647B4EB1" w14:textId="77777777" w:rsidTr="004F6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bottom w:val="single" w:sz="6" w:space="0" w:color="7F7F7F" w:themeColor="text1" w:themeTint="80"/>
            </w:tcBorders>
          </w:tcPr>
          <w:p w14:paraId="2401662A" w14:textId="1D522269" w:rsidR="004F6224" w:rsidRDefault="00AD30B0">
            <w:pPr>
              <w:pStyle w:val="P68B1DB1-Normal4"/>
              <w:spacing w:after="200" w:line="276" w:lineRule="auto"/>
              <w:rPr>
                <w:b/>
              </w:rPr>
            </w:pPr>
            <w:r>
              <w:t>Fase</w:t>
            </w:r>
          </w:p>
        </w:tc>
        <w:tc>
          <w:tcPr>
            <w:tcW w:w="4155" w:type="dxa"/>
            <w:tcBorders>
              <w:bottom w:val="single" w:sz="6" w:space="0" w:color="7F7F7F" w:themeColor="text1" w:themeTint="80"/>
            </w:tcBorders>
          </w:tcPr>
          <w:p w14:paraId="3FE446E4" w14:textId="492163BB" w:rsidR="004F6224" w:rsidRDefault="00AD30B0">
            <w:pPr>
              <w:pStyle w:val="P68B1DB1-Normal4"/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Pregunta</w:t>
            </w:r>
          </w:p>
        </w:tc>
        <w:tc>
          <w:tcPr>
            <w:tcW w:w="3390" w:type="dxa"/>
            <w:tcBorders>
              <w:bottom w:val="single" w:sz="6" w:space="0" w:color="7F7F7F" w:themeColor="text1" w:themeTint="80"/>
            </w:tcBorders>
          </w:tcPr>
          <w:p w14:paraId="5DF8A4C6" w14:textId="140BB67A" w:rsidR="004F6224" w:rsidRDefault="00AD30B0">
            <w:pPr>
              <w:pStyle w:val="P68B1DB1-Normal4"/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Objetivo</w:t>
            </w:r>
          </w:p>
        </w:tc>
      </w:tr>
      <w:tr w:rsidR="004F6224" w14:paraId="5043CA3F" w14:textId="77777777" w:rsidTr="004F6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A23E71A" w14:textId="76301942" w:rsidR="004F6224" w:rsidRDefault="00AD30B0">
            <w:pPr>
              <w:pStyle w:val="P68B1DB1-Normal4"/>
              <w:spacing w:after="200" w:line="276" w:lineRule="auto"/>
              <w:rPr>
                <w:b/>
              </w:rPr>
            </w:pPr>
            <w:r>
              <w:t>Acción</w:t>
            </w:r>
          </w:p>
        </w:tc>
        <w:tc>
          <w:tcPr>
            <w:tcW w:w="415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4023E353" w14:textId="7237A717" w:rsidR="004F6224" w:rsidRDefault="00AD30B0">
            <w:pPr>
              <w:pStyle w:val="P68B1DB1-ListParagraph5"/>
              <w:numPr>
                <w:ilvl w:val="0"/>
                <w:numId w:val="6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t>¿Qué se suponía que debía pasar?</w:t>
            </w:r>
          </w:p>
          <w:p w14:paraId="13B5187A" w14:textId="5564FC76" w:rsidR="004F6224" w:rsidRDefault="00AD30B0">
            <w:pPr>
              <w:pStyle w:val="P68B1DB1-ListParagraph5"/>
              <w:numPr>
                <w:ilvl w:val="0"/>
                <w:numId w:val="6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t>¿Qué es lo que ocurrió finalmente?</w:t>
            </w:r>
          </w:p>
          <w:p w14:paraId="1BC8A880" w14:textId="1D253756" w:rsidR="004F6224" w:rsidRDefault="00AD30B0">
            <w:pPr>
              <w:pStyle w:val="P68B1DB1-ListParagraph5"/>
              <w:numPr>
                <w:ilvl w:val="0"/>
                <w:numId w:val="6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t xml:space="preserve">¿Qué te propusiste lograr?  </w:t>
            </w:r>
          </w:p>
          <w:p w14:paraId="10EED68A" w14:textId="09831695" w:rsidR="004F6224" w:rsidRDefault="00AD30B0">
            <w:pPr>
              <w:pStyle w:val="P68B1DB1-ListParagraph5"/>
              <w:numPr>
                <w:ilvl w:val="0"/>
                <w:numId w:val="6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t>¿Qué formación se impartió?</w:t>
            </w:r>
          </w:p>
          <w:p w14:paraId="53FBBB10" w14:textId="559A97D9" w:rsidR="004F6224" w:rsidRDefault="004F622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9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6B434EE3" w14:textId="13215FF8" w:rsidR="004F6224" w:rsidRDefault="00AD30B0">
            <w:pPr>
              <w:pStyle w:val="P68B1DB1-Normal6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Estas preguntas establecen un entendimiento común del elemento de trabajo bajo revisión. El facilitador debe alentar y promover la discusión en torno a estas preguntas. En particular, se deben explorar las divergencias del plan.</w:t>
            </w:r>
          </w:p>
        </w:tc>
      </w:tr>
      <w:tr w:rsidR="004F6224" w14:paraId="05916D64" w14:textId="77777777" w:rsidTr="004F6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51D8D02" w14:textId="3F1C9A7A" w:rsidR="004F6224" w:rsidRDefault="00AD30B0">
            <w:pPr>
              <w:pStyle w:val="P68B1DB1-Normal4"/>
              <w:spacing w:after="200" w:line="276" w:lineRule="auto"/>
              <w:rPr>
                <w:b/>
              </w:rPr>
            </w:pPr>
            <w:r>
              <w:t>Reflexión</w:t>
            </w:r>
          </w:p>
        </w:tc>
        <w:tc>
          <w:tcPr>
            <w:tcW w:w="4155" w:type="dxa"/>
          </w:tcPr>
          <w:p w14:paraId="04C9FB2D" w14:textId="395F7B2C" w:rsidR="004F6224" w:rsidRDefault="00AD30B0">
            <w:pPr>
              <w:pStyle w:val="P68B1DB1-ListParagraph5"/>
              <w:numPr>
                <w:ilvl w:val="0"/>
                <w:numId w:val="5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t>¿Qué cosas funcionaron?</w:t>
            </w:r>
          </w:p>
          <w:p w14:paraId="1C7CF747" w14:textId="54DB11BD" w:rsidR="004F6224" w:rsidRDefault="00AD30B0">
            <w:pPr>
              <w:pStyle w:val="P68B1DB1-ListParagraph5"/>
              <w:numPr>
                <w:ilvl w:val="0"/>
                <w:numId w:val="5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t>¿Qué podría haber salido mejor?</w:t>
            </w:r>
          </w:p>
          <w:p w14:paraId="7F5B3544" w14:textId="1C7CA5D3" w:rsidR="004F6224" w:rsidRDefault="00AD30B0">
            <w:pPr>
              <w:pStyle w:val="P68B1DB1-ListParagraph5"/>
              <w:numPr>
                <w:ilvl w:val="0"/>
                <w:numId w:val="5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t>¿Qué ayudó, qué obstaculizó?</w:t>
            </w:r>
          </w:p>
          <w:p w14:paraId="0C8D62B8" w14:textId="6C079841" w:rsidR="004F6224" w:rsidRDefault="00AD30B0">
            <w:pPr>
              <w:pStyle w:val="P68B1DB1-ListParagraph5"/>
              <w:numPr>
                <w:ilvl w:val="0"/>
                <w:numId w:val="5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t>¿Por qué?</w:t>
            </w:r>
          </w:p>
        </w:tc>
        <w:tc>
          <w:tcPr>
            <w:tcW w:w="3390" w:type="dxa"/>
          </w:tcPr>
          <w:p w14:paraId="7D8FF8C4" w14:textId="6AF5F873" w:rsidR="004F6224" w:rsidRDefault="00AD30B0">
            <w:pPr>
              <w:pStyle w:val="P68B1DB1-Normal6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Estas preguntas generan reflexión sobre los éxitos y fracasos durante el curso del proyecto, actividad, evento o tarea. La pregunta «¿Por qué?» genera comprensión de las causas fundamentales de estos éxitos y fracasos</w:t>
            </w:r>
          </w:p>
        </w:tc>
      </w:tr>
      <w:tr w:rsidR="004F6224" w14:paraId="3FE5BCD4" w14:textId="77777777" w:rsidTr="004F6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17A12EDD" w14:textId="69A436F2" w:rsidR="004F6224" w:rsidRDefault="00AD30B0">
            <w:pPr>
              <w:pStyle w:val="P68B1DB1-Normal4"/>
              <w:spacing w:after="200" w:line="276" w:lineRule="auto"/>
              <w:rPr>
                <w:b/>
              </w:rPr>
            </w:pPr>
            <w:r>
              <w:t>Aprendizaje</w:t>
            </w:r>
          </w:p>
        </w:tc>
        <w:tc>
          <w:tcPr>
            <w:tcW w:w="415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0F3B5886" w14:textId="597F4BFB" w:rsidR="004F6224" w:rsidRDefault="00AD30B0">
            <w:pPr>
              <w:pStyle w:val="P68B1DB1-ListParagraph5"/>
              <w:numPr>
                <w:ilvl w:val="0"/>
                <w:numId w:val="4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t>¿Qué aprendimos?</w:t>
            </w:r>
          </w:p>
          <w:p w14:paraId="54C1027A" w14:textId="52BCFADE" w:rsidR="004F6224" w:rsidRDefault="00AD30B0">
            <w:pPr>
              <w:pStyle w:val="P68B1DB1-ListParagraph5"/>
              <w:numPr>
                <w:ilvl w:val="0"/>
                <w:numId w:val="4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t>¿Alguna idea nueva?</w:t>
            </w:r>
          </w:p>
          <w:p w14:paraId="474F01E9" w14:textId="0DE92609" w:rsidR="004F6224" w:rsidRDefault="00AD30B0">
            <w:pPr>
              <w:pStyle w:val="P68B1DB1-ListParagraph5"/>
              <w:numPr>
                <w:ilvl w:val="0"/>
                <w:numId w:val="4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t>¿Qué se confirmó?</w:t>
            </w:r>
          </w:p>
          <w:p w14:paraId="47364949" w14:textId="48E8E24F" w:rsidR="004F6224" w:rsidRDefault="00AD30B0">
            <w:pPr>
              <w:pStyle w:val="P68B1DB1-ListParagraph5"/>
              <w:numPr>
                <w:ilvl w:val="0"/>
                <w:numId w:val="4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t>¿Qué nuevas preguntas han surgido?</w:t>
            </w:r>
          </w:p>
          <w:p w14:paraId="11139C05" w14:textId="0726A0F4" w:rsidR="004F6224" w:rsidRDefault="00AD30B0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¿Qué otras teorías nos ayudan a profundizar en estos aprendizajes?</w:t>
            </w:r>
            <w:r>
              <w:br/>
            </w:r>
          </w:p>
        </w:tc>
        <w:tc>
          <w:tcPr>
            <w:tcW w:w="3390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</w:tcPr>
          <w:p w14:paraId="21312F89" w14:textId="1E9EA59C" w:rsidR="004F6224" w:rsidRDefault="004F622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F6224" w14:paraId="20A71936" w14:textId="77777777" w:rsidTr="004F62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5E0E9F8" w14:textId="103285B9" w:rsidR="004F6224" w:rsidRDefault="00AD30B0">
            <w:pPr>
              <w:pStyle w:val="P68B1DB1-Normal4"/>
              <w:spacing w:after="200" w:line="276" w:lineRule="auto"/>
              <w:rPr>
                <w:b/>
              </w:rPr>
            </w:pPr>
            <w:r>
              <w:t>Planificación</w:t>
            </w:r>
          </w:p>
        </w:tc>
        <w:tc>
          <w:tcPr>
            <w:tcW w:w="4155" w:type="dxa"/>
          </w:tcPr>
          <w:p w14:paraId="180CE131" w14:textId="0D78B7FB" w:rsidR="004F6224" w:rsidRDefault="00AD30B0">
            <w:pPr>
              <w:pStyle w:val="P68B1DB1-ListParagraph5"/>
              <w:numPr>
                <w:ilvl w:val="0"/>
                <w:numId w:val="3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t>Entonces, ¿qué significa esto en la práctica?</w:t>
            </w:r>
          </w:p>
          <w:p w14:paraId="03482E35" w14:textId="5141DD31" w:rsidR="004F6224" w:rsidRDefault="00AD30B0">
            <w:pPr>
              <w:pStyle w:val="P68B1DB1-ListParagraph5"/>
              <w:numPr>
                <w:ilvl w:val="0"/>
                <w:numId w:val="3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t>¿Qué vamos a hacer nosotros de manera distinta? ¿Qué dejar de hacer?</w:t>
            </w:r>
          </w:p>
          <w:p w14:paraId="425DB4E5" w14:textId="21ACF039" w:rsidR="004F6224" w:rsidRDefault="00AD30B0">
            <w:pPr>
              <w:pStyle w:val="P68B1DB1-ListParagraph5"/>
              <w:numPr>
                <w:ilvl w:val="0"/>
                <w:numId w:val="3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t>¿Qué continuaremos/comenzaremos a hacer?</w:t>
            </w:r>
          </w:p>
          <w:p w14:paraId="1930AB49" w14:textId="6AEB17B6" w:rsidR="004F6224" w:rsidRDefault="00AD30B0">
            <w:pPr>
              <w:pStyle w:val="P68B1DB1-ListParagraph5"/>
              <w:numPr>
                <w:ilvl w:val="0"/>
                <w:numId w:val="3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t>¿Cómo no vamos a repetir los mismos errores?</w:t>
            </w:r>
          </w:p>
          <w:p w14:paraId="1A747C55" w14:textId="00EE0E59" w:rsidR="004F6224" w:rsidRDefault="00AD30B0">
            <w:pPr>
              <w:pStyle w:val="P68B1DB1-ListParagraph5"/>
              <w:numPr>
                <w:ilvl w:val="0"/>
                <w:numId w:val="3"/>
              </w:num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t>¿Qué pasos usaremos para incorporar estos nuevos conocimientos en nuestra práctica?</w:t>
            </w:r>
          </w:p>
        </w:tc>
        <w:tc>
          <w:tcPr>
            <w:tcW w:w="3390" w:type="dxa"/>
          </w:tcPr>
          <w:p w14:paraId="29AABE03" w14:textId="4BBB38AC" w:rsidR="004F6224" w:rsidRDefault="00AD30B0">
            <w:pPr>
              <w:pStyle w:val="P68B1DB1-Normal6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Estas preguntas están destinadas a ayudar a identificar recomendaciones prácticas específicas. El facilitador pide a los miembros del equipo recomendaciones nítidas y claras, alcanzables y orientadas al futuro.</w:t>
            </w:r>
          </w:p>
        </w:tc>
      </w:tr>
    </w:tbl>
    <w:p w14:paraId="23027DCE" w14:textId="1D3FFAB7" w:rsidR="004F6224" w:rsidRDefault="004F6224">
      <w:pPr>
        <w:spacing w:line="300" w:lineRule="atLeast"/>
        <w:jc w:val="both"/>
        <w:rPr>
          <w:rFonts w:eastAsiaTheme="minorEastAsia"/>
        </w:rPr>
      </w:pPr>
    </w:p>
    <w:p w14:paraId="72FBDD1E" w14:textId="0931D48E" w:rsidR="004F6224" w:rsidRDefault="004F6224">
      <w:pPr>
        <w:spacing w:line="300" w:lineRule="atLeast"/>
        <w:jc w:val="both"/>
      </w:pPr>
    </w:p>
    <w:p w14:paraId="6ABA4E4D" w14:textId="77777777" w:rsidR="004F6224" w:rsidRDefault="00AD30B0">
      <w:pPr>
        <w:spacing w:line="300" w:lineRule="atLeast"/>
        <w:jc w:val="both"/>
      </w:pPr>
      <w:r>
        <w:t xml:space="preserve">Puede ser útil dividir su análisis en categorías y aplicar el AAR en cada una. Por ejemplo, si está evaluando un proyecto con 5 objetivos, puede hacer las preguntas anteriores por objetivo. Si está evaluando un programa con una serie de proyectos más pequeños dentro de él, puede hacer las preguntas anteriores por proyecto. </w:t>
      </w:r>
    </w:p>
    <w:p w14:paraId="13E73B08" w14:textId="77777777" w:rsidR="004F6224" w:rsidRDefault="00AD30B0">
      <w:pPr>
        <w:spacing w:line="300" w:lineRule="atLeast"/>
        <w:jc w:val="both"/>
      </w:pPr>
      <w:r>
        <w:t>También es posible que desee añadir preguntas más detalladas, por ejemplo,</w:t>
      </w:r>
    </w:p>
    <w:p w14:paraId="0CAD6DBB" w14:textId="77777777" w:rsidR="004F6224" w:rsidRDefault="00AD30B0">
      <w:pPr>
        <w:spacing w:after="120" w:line="300" w:lineRule="atLeast"/>
        <w:ind w:left="720"/>
        <w:jc w:val="both"/>
      </w:pPr>
      <w:r>
        <w:t xml:space="preserve">• ¿Qué te propusiste lograr?  </w:t>
      </w:r>
    </w:p>
    <w:p w14:paraId="013DD6E3" w14:textId="77777777" w:rsidR="004F6224" w:rsidRDefault="00AD30B0">
      <w:pPr>
        <w:spacing w:after="120" w:line="300" w:lineRule="atLeast"/>
        <w:ind w:left="720"/>
        <w:jc w:val="both"/>
      </w:pPr>
      <w:r>
        <w:t xml:space="preserve">• ¿Cuál era su plan para lograr esto? </w:t>
      </w:r>
    </w:p>
    <w:p w14:paraId="6680CC62" w14:textId="77777777" w:rsidR="004F6224" w:rsidRDefault="00AD30B0">
      <w:pPr>
        <w:spacing w:after="120" w:line="300" w:lineRule="atLeast"/>
        <w:ind w:left="720"/>
        <w:jc w:val="both"/>
      </w:pPr>
      <w:r>
        <w:t xml:space="preserve">• ¿Cómo cambió esto a medida que avanzaba? </w:t>
      </w:r>
    </w:p>
    <w:p w14:paraId="71889E7E" w14:textId="77777777" w:rsidR="004F6224" w:rsidRDefault="00AD30B0">
      <w:pPr>
        <w:spacing w:after="120" w:line="300" w:lineRule="atLeast"/>
        <w:ind w:left="720"/>
        <w:jc w:val="both"/>
      </w:pPr>
      <w:r>
        <w:t xml:space="preserve">• ¿Qué consejo te darías si volvieras a donde estabas al comienzo del proyecto? </w:t>
      </w:r>
    </w:p>
    <w:p w14:paraId="34C21C54" w14:textId="77777777" w:rsidR="004F6224" w:rsidRDefault="00AD30B0">
      <w:pPr>
        <w:spacing w:after="120" w:line="300" w:lineRule="atLeast"/>
        <w:ind w:left="720"/>
        <w:jc w:val="both"/>
      </w:pPr>
      <w:r>
        <w:t xml:space="preserve">• ¿Cuáles fueron las dos o tres lecciones clave que compartiría con los demás? </w:t>
      </w:r>
    </w:p>
    <w:p w14:paraId="1CFA0547" w14:textId="77777777" w:rsidR="004F6224" w:rsidRDefault="00AD30B0">
      <w:pPr>
        <w:spacing w:after="120" w:line="300" w:lineRule="atLeast"/>
        <w:ind w:left="720"/>
        <w:jc w:val="both"/>
      </w:pPr>
      <w:r>
        <w:t xml:space="preserve">• ¿Qué sigue para ti en términos de este proyecto? </w:t>
      </w:r>
    </w:p>
    <w:p w14:paraId="56C4E987" w14:textId="77777777" w:rsidR="004F6224" w:rsidRDefault="00AD30B0">
      <w:pPr>
        <w:spacing w:after="120" w:line="300" w:lineRule="atLeast"/>
        <w:ind w:left="720"/>
        <w:jc w:val="both"/>
      </w:pPr>
      <w:r>
        <w:t xml:space="preserve">• ¿Se le ocurre una historia que resuma su experiencia de trabajo en este proyecto? </w:t>
      </w:r>
    </w:p>
    <w:p w14:paraId="06278087" w14:textId="77777777" w:rsidR="004F6224" w:rsidRDefault="00AD30B0">
      <w:pPr>
        <w:spacing w:after="120" w:line="300" w:lineRule="atLeast"/>
        <w:ind w:left="720"/>
        <w:jc w:val="both"/>
      </w:pPr>
      <w:r>
        <w:t xml:space="preserve">• ¿Qué deberíamos haber aprendido de este proyecto dentro de un año? </w:t>
      </w:r>
    </w:p>
    <w:p w14:paraId="140D733A" w14:textId="77777777" w:rsidR="004F6224" w:rsidRDefault="00AD30B0">
      <w:pPr>
        <w:spacing w:after="120" w:line="300" w:lineRule="atLeast"/>
        <w:ind w:left="720"/>
        <w:jc w:val="both"/>
      </w:pPr>
      <w:r>
        <w:t>• ¿Hay alguna lección para ti personalmente?</w:t>
      </w:r>
    </w:p>
    <w:p w14:paraId="09537ED9" w14:textId="77777777" w:rsidR="004F6224" w:rsidRDefault="004F6224">
      <w:pPr>
        <w:spacing w:after="120" w:line="300" w:lineRule="atLeast"/>
        <w:jc w:val="both"/>
      </w:pPr>
    </w:p>
    <w:p w14:paraId="0FBC8F25" w14:textId="77777777" w:rsidR="004F6224" w:rsidRDefault="00AD30B0">
      <w:pPr>
        <w:spacing w:after="120" w:line="300" w:lineRule="atLeast"/>
        <w:jc w:val="both"/>
        <w:rPr>
          <w:b/>
        </w:rPr>
      </w:pPr>
      <w:r>
        <w:t xml:space="preserve">En cuanto a las lecciones aprendidas, puede ser muy valioso para los miembros del personal pensar en cómo sacarían adelante las lecciones aprendidas del taller, convirtiéndolo en </w:t>
      </w:r>
      <w:r>
        <w:rPr>
          <w:b/>
        </w:rPr>
        <w:t xml:space="preserve">planes de acción de equipo y/o individuales. </w:t>
      </w:r>
    </w:p>
    <w:p w14:paraId="4A68472C" w14:textId="77777777" w:rsidR="004F6224" w:rsidRDefault="004F6224">
      <w:pPr>
        <w:spacing w:after="120" w:line="300" w:lineRule="atLeast"/>
        <w:jc w:val="both"/>
      </w:pPr>
    </w:p>
    <w:p w14:paraId="680D2599" w14:textId="77777777" w:rsidR="004F6224" w:rsidRDefault="00AD30B0">
      <w:pPr>
        <w:pStyle w:val="P68B1DB1-Normal2"/>
        <w:spacing w:after="120" w:line="300" w:lineRule="atLeast"/>
        <w:jc w:val="both"/>
      </w:pPr>
      <w:r>
        <w:lastRenderedPageBreak/>
        <w:t>Modo de empleo:</w:t>
      </w:r>
    </w:p>
    <w:p w14:paraId="12FE8632" w14:textId="77777777" w:rsidR="004F6224" w:rsidRDefault="004F6224">
      <w:pPr>
        <w:spacing w:after="120" w:line="300" w:lineRule="atLeast"/>
        <w:jc w:val="both"/>
        <w:rPr>
          <w:b/>
        </w:rPr>
      </w:pPr>
    </w:p>
    <w:p w14:paraId="08C62F17" w14:textId="119EE427" w:rsidR="004F6224" w:rsidRDefault="00AD30B0">
      <w:pPr>
        <w:pStyle w:val="ListParagraph"/>
        <w:numPr>
          <w:ilvl w:val="0"/>
          <w:numId w:val="2"/>
        </w:numPr>
        <w:spacing w:after="120" w:line="300" w:lineRule="atLeast"/>
        <w:jc w:val="both"/>
        <w:rPr>
          <w:rFonts w:eastAsiaTheme="minorEastAsia"/>
        </w:rPr>
      </w:pPr>
      <w:r>
        <w:t xml:space="preserve"> Los AAR se pueden realizar en casi cualquier lugar y su duración variará. Por ejemplo, se puede realizar un AAR de 15 minutos después de un taller de un día, o se podría celebrar una reunión mucho más larga para reflexionar sobre el proceso de desarrollo de la estrategia en toda una gran organización.</w:t>
      </w:r>
    </w:p>
    <w:p w14:paraId="73D9A9C4" w14:textId="72867D92" w:rsidR="004F6224" w:rsidRDefault="00AD30B0">
      <w:pPr>
        <w:pStyle w:val="ListParagraph"/>
        <w:numPr>
          <w:ilvl w:val="0"/>
          <w:numId w:val="2"/>
        </w:numPr>
        <w:spacing w:after="120" w:line="300" w:lineRule="atLeast"/>
        <w:jc w:val="both"/>
        <w:rPr>
          <w:rFonts w:eastAsiaTheme="minorEastAsia"/>
        </w:rPr>
      </w:pPr>
      <w:r>
        <w:t>Las AAR deben llevarse a cabo de inmediato, mientras el equipo todavía esté disponible y los recuerdos estén frescos. Se recomienda que los AAR se incorporen en puntos clave durante un proyecto, actividad, evento o tarea en la etapa de planificación temprana, aunque a menudo se completan al final.</w:t>
      </w:r>
    </w:p>
    <w:p w14:paraId="11B50932" w14:textId="01DB884B" w:rsidR="004F6224" w:rsidRDefault="00AD30B0">
      <w:pPr>
        <w:pStyle w:val="ListParagraph"/>
        <w:numPr>
          <w:ilvl w:val="0"/>
          <w:numId w:val="2"/>
        </w:numPr>
        <w:spacing w:after="120" w:line="300" w:lineRule="atLeast"/>
        <w:jc w:val="both"/>
        <w:rPr>
          <w:rFonts w:eastAsiaTheme="minorEastAsia"/>
        </w:rPr>
      </w:pPr>
      <w:r>
        <w:t>Los participantes de un AAR deben incluir a todos los miembros del equipo. Se podría nombrar un facilitador para ayudar a crear un entorno abierto, promover la discusión y extraer las lecciones aprendidas.</w:t>
      </w:r>
    </w:p>
    <w:p w14:paraId="361EF6D1" w14:textId="77777777" w:rsidR="004F6224" w:rsidRDefault="00AD30B0">
      <w:pPr>
        <w:spacing w:after="120" w:line="300" w:lineRule="atLeast"/>
        <w:jc w:val="both"/>
      </w:pPr>
      <w:r>
        <w:t xml:space="preserve"> </w:t>
      </w:r>
    </w:p>
    <w:p w14:paraId="0236A471" w14:textId="77777777" w:rsidR="004F6224" w:rsidRDefault="004F6224">
      <w:pPr>
        <w:spacing w:after="120" w:line="300" w:lineRule="atLeast"/>
        <w:jc w:val="both"/>
      </w:pPr>
    </w:p>
    <w:p w14:paraId="283E801D" w14:textId="64A3794E" w:rsidR="004F6224" w:rsidRDefault="00AD30B0">
      <w:pPr>
        <w:pStyle w:val="P68B1DB1-Normal2"/>
        <w:spacing w:after="120" w:line="300" w:lineRule="atLeast"/>
        <w:jc w:val="both"/>
      </w:pPr>
      <w:r>
        <w:t>Consejos para ejecutar un AAR (consejos y trampas):</w:t>
      </w:r>
    </w:p>
    <w:p w14:paraId="0B3415FB" w14:textId="4972DC5F" w:rsidR="004F6224" w:rsidRDefault="00AD30B0">
      <w:pPr>
        <w:pStyle w:val="ListParagraph"/>
        <w:numPr>
          <w:ilvl w:val="0"/>
          <w:numId w:val="1"/>
        </w:numPr>
        <w:spacing w:after="120" w:line="300" w:lineRule="atLeast"/>
        <w:jc w:val="both"/>
        <w:rPr>
          <w:rFonts w:eastAsiaTheme="minorEastAsia"/>
        </w:rPr>
      </w:pPr>
      <w:r>
        <w:t xml:space="preserve">Los asistentes son participantes, no una audiencia pasiva. El facilitador debe preparar preguntas principales y puede tener que hacérselas a varias personas. Las preguntas se pueden hacer de forma individual o en equipo. El mecanismo de equipo es ideal, pero si las sugerencias llegan lentamente, el facilitador podría recorrer la sala pidiendo a cada individuo que exprese una cosa que funcionó y una cosa que no. </w:t>
      </w:r>
    </w:p>
    <w:p w14:paraId="01FA386F" w14:textId="53953532" w:rsidR="004F6224" w:rsidRDefault="00AD30B0">
      <w:pPr>
        <w:pStyle w:val="ListParagraph"/>
        <w:numPr>
          <w:ilvl w:val="0"/>
          <w:numId w:val="1"/>
        </w:numPr>
        <w:spacing w:after="120" w:line="300" w:lineRule="atLeast"/>
        <w:jc w:val="both"/>
        <w:rPr>
          <w:rFonts w:eastAsiaTheme="minorEastAsia"/>
        </w:rPr>
      </w:pPr>
      <w:r>
        <w:t xml:space="preserve">Si hay problemas con la apertura o el tiempo, puede valer la pena recopilar ideas primero y luego facilitar la discusión en el entorno grupal.  </w:t>
      </w:r>
    </w:p>
    <w:p w14:paraId="0B976681" w14:textId="1AE1C184" w:rsidR="004F6224" w:rsidRDefault="00AD30B0">
      <w:pPr>
        <w:pStyle w:val="ListParagraph"/>
        <w:numPr>
          <w:ilvl w:val="0"/>
          <w:numId w:val="1"/>
        </w:numPr>
        <w:spacing w:after="120" w:line="300" w:lineRule="atLeast"/>
        <w:jc w:val="both"/>
        <w:rPr>
          <w:rFonts w:eastAsiaTheme="minorEastAsia"/>
        </w:rPr>
      </w:pPr>
      <w:r>
        <w:t xml:space="preserve">Lo ideal es que se le pida a un tomador de notas no involucrado que reduzca la sesión. Esto permitirá una mejor captura del aprendizaje. </w:t>
      </w:r>
    </w:p>
    <w:p w14:paraId="1C4AAC5C" w14:textId="02980004" w:rsidR="004F6224" w:rsidRDefault="00AD30B0">
      <w:pPr>
        <w:pStyle w:val="ListParagraph"/>
        <w:numPr>
          <w:ilvl w:val="0"/>
          <w:numId w:val="1"/>
        </w:numPr>
        <w:spacing w:after="120" w:line="300" w:lineRule="atLeast"/>
        <w:jc w:val="both"/>
        <w:rPr>
          <w:rFonts w:eastAsiaTheme="minorEastAsia"/>
        </w:rPr>
      </w:pPr>
      <w:r>
        <w:t>Las recomendaciones prácticas deben ser lo más específicas posible. Por ejemplo, un AAR después de un taller podría tener la siguiente recomendación: «Dedique más tiempo a comprender a la audiencia». Un mejor SAR sería «Póngase en contacto con el representante del organismo organizador y pregunte sobre el rango de participantes antes de planificar el taller.</w:t>
      </w:r>
    </w:p>
    <w:p w14:paraId="2FF4466C" w14:textId="0C6CE9D9" w:rsidR="004F6224" w:rsidRDefault="004F6224">
      <w:pPr>
        <w:spacing w:after="120" w:line="300" w:lineRule="atLeast"/>
        <w:jc w:val="both"/>
      </w:pPr>
    </w:p>
    <w:p w14:paraId="14E8D9FA" w14:textId="3F9433AE" w:rsidR="004F6224" w:rsidRDefault="00AD30B0">
      <w:r>
        <w:br w:type="page"/>
      </w:r>
    </w:p>
    <w:p w14:paraId="524CEFD7" w14:textId="3E4FAC38" w:rsidR="004F6224" w:rsidRDefault="00AD30B0">
      <w:pPr>
        <w:pStyle w:val="P68B1DB1-Normal7"/>
        <w:jc w:val="center"/>
      </w:pPr>
      <w:r>
        <w:lastRenderedPageBreak/>
        <w:t>Plantilla de revisión posterior a la acción</w:t>
      </w:r>
    </w:p>
    <w:p w14:paraId="65C1EE44" w14:textId="0FC3EBCB" w:rsidR="004F6224" w:rsidRDefault="00AD30B0">
      <w:pPr>
        <w:pStyle w:val="Heading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rPr>
          <w:rFonts w:ascii="Cambria" w:eastAsia="Cambria" w:hAnsi="Cambria" w:cs="Cambria"/>
        </w:rPr>
        <w:t>Acción</w:t>
      </w:r>
      <w:r>
        <w:tab/>
      </w:r>
    </w:p>
    <w:p w14:paraId="3E39DEC8" w14:textId="7630DDB4" w:rsidR="004F6224" w:rsidRDefault="00AD30B0">
      <w:pPr>
        <w:pStyle w:val="P68B1DB1-Normal8"/>
        <w:jc w:val="both"/>
      </w:pPr>
      <w:r>
        <w:t>¿Qué se suponía que debía pasar? ¿Qué es lo que ocurrió finalmente? ¿Qué te propusiste lograr?  ¿Qué formación se impartió?</w:t>
      </w:r>
    </w:p>
    <w:p w14:paraId="42C50CAA" w14:textId="05B96350" w:rsidR="004F6224" w:rsidRDefault="00AD30B0">
      <w:pPr>
        <w:pStyle w:val="P68B1DB1-Normal9"/>
        <w:jc w:val="both"/>
      </w:pPr>
      <w:r>
        <w:t xml:space="preserve"> </w:t>
      </w:r>
    </w:p>
    <w:p w14:paraId="1049847E" w14:textId="3F12CEA5" w:rsidR="004F6224" w:rsidRDefault="00AD30B0">
      <w:pPr>
        <w:pStyle w:val="P68B1DB1-Normal9"/>
        <w:jc w:val="both"/>
      </w:pPr>
      <w:r>
        <w:t xml:space="preserve"> </w:t>
      </w:r>
    </w:p>
    <w:p w14:paraId="43EA7DA4" w14:textId="07DEB1E8" w:rsidR="004F6224" w:rsidRDefault="00AD30B0">
      <w:pPr>
        <w:pStyle w:val="P68B1DB1-Normal9"/>
        <w:jc w:val="both"/>
      </w:pPr>
      <w:r>
        <w:t xml:space="preserve">                </w:t>
      </w:r>
    </w:p>
    <w:p w14:paraId="210E0DDC" w14:textId="4E2D5BC6" w:rsidR="004F6224" w:rsidRDefault="00AD30B0">
      <w:pPr>
        <w:pStyle w:val="Heading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rPr>
          <w:rFonts w:ascii="Cambria" w:eastAsia="Cambria" w:hAnsi="Cambria" w:cs="Cambria"/>
        </w:rPr>
        <w:t>Reflexión</w:t>
      </w:r>
      <w:r>
        <w:tab/>
      </w:r>
    </w:p>
    <w:p w14:paraId="1A3704B9" w14:textId="416BA719" w:rsidR="004F6224" w:rsidRDefault="00AD30B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¿Qué cosas funcionaron? ¿Qué podría haber salido mejor?¿Qué ayudó, qué obstaculizó?; ¿Por qué?</w:t>
      </w:r>
      <w:r>
        <w:tab/>
      </w:r>
    </w:p>
    <w:p w14:paraId="7B187BEE" w14:textId="6F71E6E1" w:rsidR="004F6224" w:rsidRDefault="00AD30B0">
      <w:pPr>
        <w:pStyle w:val="P68B1DB1-Heading210"/>
      </w:pPr>
      <w:r>
        <w:rPr>
          <w:rFonts w:ascii="Cambria" w:eastAsia="Cambria" w:hAnsi="Cambria" w:cs="Cambria"/>
        </w:rPr>
        <w:t xml:space="preserve">2.1        </w:t>
      </w:r>
      <w:r>
        <w:rPr>
          <w:rFonts w:ascii="Times New Roman" w:eastAsia="Times New Roman" w:hAnsi="Times New Roman" w:cs="Times New Roman"/>
          <w:sz w:val="14"/>
        </w:rPr>
        <w:t xml:space="preserve">        </w:t>
      </w:r>
      <w:r>
        <w:rPr>
          <w:rFonts w:ascii="Cambria" w:eastAsia="Cambria" w:hAnsi="Cambria" w:cs="Cambria"/>
        </w:rPr>
        <w:t>¿Qué cosas funcionaron?</w:t>
      </w:r>
    </w:p>
    <w:p w14:paraId="2224796B" w14:textId="768F5A13" w:rsidR="004F6224" w:rsidRDefault="00AD30B0">
      <w:pPr>
        <w:pStyle w:val="P68B1DB1-Normal9"/>
        <w:jc w:val="both"/>
      </w:pPr>
      <w:r>
        <w:t xml:space="preserve"> </w:t>
      </w:r>
    </w:p>
    <w:p w14:paraId="46797D8B" w14:textId="751619E7" w:rsidR="004F6224" w:rsidRDefault="00AD30B0">
      <w:pPr>
        <w:pStyle w:val="P68B1DB1-Heading210"/>
      </w:pPr>
      <w:r>
        <w:rPr>
          <w:rFonts w:ascii="Cambria" w:eastAsia="Cambria" w:hAnsi="Cambria" w:cs="Cambria"/>
        </w:rPr>
        <w:t xml:space="preserve">2.2        </w:t>
      </w:r>
      <w:r>
        <w:rPr>
          <w:rFonts w:ascii="Times New Roman" w:eastAsia="Times New Roman" w:hAnsi="Times New Roman" w:cs="Times New Roman"/>
          <w:sz w:val="14"/>
        </w:rPr>
        <w:t xml:space="preserve">        </w:t>
      </w:r>
      <w:r>
        <w:rPr>
          <w:rFonts w:ascii="Cambria" w:eastAsia="Cambria" w:hAnsi="Cambria" w:cs="Cambria"/>
        </w:rPr>
        <w:t>¿Qué podría haber salido mejor?</w:t>
      </w:r>
    </w:p>
    <w:p w14:paraId="344E0F0A" w14:textId="21BEF3B0" w:rsidR="004F6224" w:rsidRDefault="00AD30B0">
      <w:pPr>
        <w:pStyle w:val="P68B1DB1-Normal9"/>
        <w:jc w:val="both"/>
      </w:pPr>
      <w:r>
        <w:t xml:space="preserve"> </w:t>
      </w:r>
    </w:p>
    <w:p w14:paraId="58F46318" w14:textId="3DCB3498" w:rsidR="004F6224" w:rsidRDefault="00AD30B0">
      <w:pPr>
        <w:pStyle w:val="Heading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3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rPr>
          <w:rFonts w:ascii="Cambria" w:eastAsia="Cambria" w:hAnsi="Cambria" w:cs="Cambria"/>
        </w:rPr>
        <w:t>Aprendizaje</w:t>
      </w:r>
      <w:r>
        <w:tab/>
      </w:r>
    </w:p>
    <w:p w14:paraId="5F268A93" w14:textId="396D32BF" w:rsidR="004F6224" w:rsidRDefault="00AD30B0">
      <w:pPr>
        <w:pStyle w:val="P68B1DB1-Normal8"/>
        <w:jc w:val="both"/>
      </w:pPr>
      <w:r>
        <w:t>¿Qué aprendimos? ¿Alguna idea nueva? ¿Qué se confirmó? ¿Qué nuevas preguntas han surgido?</w:t>
      </w:r>
    </w:p>
    <w:p w14:paraId="4CB72B9D" w14:textId="194F16D8" w:rsidR="004F6224" w:rsidRDefault="00AD30B0">
      <w:pPr>
        <w:pStyle w:val="P68B1DB1-Normal9"/>
        <w:jc w:val="both"/>
      </w:pPr>
      <w:r>
        <w:t xml:space="preserve"> </w:t>
      </w:r>
    </w:p>
    <w:p w14:paraId="4FE8F88D" w14:textId="01C5BFA0" w:rsidR="004F6224" w:rsidRDefault="00AD30B0">
      <w:pPr>
        <w:pStyle w:val="Heading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4</w:t>
      </w:r>
      <w:r>
        <w:rPr>
          <w:rFonts w:ascii="Times New Roman" w:eastAsia="Times New Roman" w:hAnsi="Times New Roman" w:cs="Times New Roman"/>
          <w:sz w:val="14"/>
        </w:rPr>
        <w:t xml:space="preserve">         </w:t>
      </w:r>
      <w:r>
        <w:rPr>
          <w:rFonts w:ascii="Cambria" w:eastAsia="Cambria" w:hAnsi="Cambria" w:cs="Cambria"/>
        </w:rPr>
        <w:t>Planificación</w:t>
      </w:r>
      <w:r>
        <w:tab/>
      </w:r>
    </w:p>
    <w:p w14:paraId="7989047F" w14:textId="36BEAB89" w:rsidR="004F6224" w:rsidRDefault="00AD30B0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Entonces, ¿qué significa esto en la práctica? ¿Qué vamos a hacer nosotros de manera distinta? ¿Qué dejar de hacer? ¿Qué continuaremos/comenzaremos a hacer? ¿Cómo no vamos a repetir los mismos errores? ¿Qué pasos usaremos para incorporar estos nuevos conocimientos en nuestra práctica?</w:t>
      </w:r>
      <w:r>
        <w:tab/>
      </w:r>
    </w:p>
    <w:p w14:paraId="42F0650C" w14:textId="76C460B8" w:rsidR="004F6224" w:rsidRDefault="00AD30B0">
      <w:pPr>
        <w:pStyle w:val="P68B1DB1-Heading210"/>
      </w:pPr>
      <w:r>
        <w:rPr>
          <w:rFonts w:ascii="Cambria" w:eastAsia="Cambria" w:hAnsi="Cambria" w:cs="Cambria"/>
        </w:rPr>
        <w:t>4.1</w:t>
      </w:r>
      <w:r>
        <w:rPr>
          <w:rFonts w:ascii="Times New Roman" w:eastAsia="Times New Roman" w:hAnsi="Times New Roman" w:cs="Times New Roman"/>
          <w:sz w:val="14"/>
        </w:rPr>
        <w:t xml:space="preserve">        </w:t>
      </w:r>
      <w:r>
        <w:rPr>
          <w:rFonts w:ascii="Cambria" w:eastAsia="Cambria" w:hAnsi="Cambria" w:cs="Cambria"/>
        </w:rPr>
        <w:t>Seguir haciendo</w:t>
      </w:r>
    </w:p>
    <w:p w14:paraId="151BAF89" w14:textId="56661E29" w:rsidR="004F6224" w:rsidRDefault="00AD30B0">
      <w:pPr>
        <w:pStyle w:val="P68B1DB1-Normal9"/>
        <w:jc w:val="both"/>
      </w:pPr>
      <w:r>
        <w:t xml:space="preserve"> </w:t>
      </w:r>
    </w:p>
    <w:p w14:paraId="288DDA0C" w14:textId="576F635C" w:rsidR="004F6224" w:rsidRDefault="00AD30B0">
      <w:pPr>
        <w:pStyle w:val="P68B1DB1-Heading210"/>
      </w:pPr>
      <w:r>
        <w:rPr>
          <w:rFonts w:ascii="Cambria" w:eastAsia="Cambria" w:hAnsi="Cambria" w:cs="Cambria"/>
        </w:rPr>
        <w:t>4.2</w:t>
      </w:r>
      <w:r>
        <w:rPr>
          <w:rFonts w:ascii="Times New Roman" w:eastAsia="Times New Roman" w:hAnsi="Times New Roman" w:cs="Times New Roman"/>
          <w:sz w:val="14"/>
        </w:rPr>
        <w:t xml:space="preserve">        </w:t>
      </w:r>
      <w:r>
        <w:rPr>
          <w:rFonts w:ascii="Cambria" w:eastAsia="Cambria" w:hAnsi="Cambria" w:cs="Cambria"/>
        </w:rPr>
        <w:t>Empezar a hacer</w:t>
      </w:r>
    </w:p>
    <w:p w14:paraId="0758944F" w14:textId="77DF3EE5" w:rsidR="004F6224" w:rsidRDefault="00AD30B0">
      <w:pPr>
        <w:pStyle w:val="P68B1DB1-Normal9"/>
        <w:jc w:val="both"/>
      </w:pPr>
      <w:r>
        <w:t xml:space="preserve"> </w:t>
      </w:r>
    </w:p>
    <w:p w14:paraId="1924C88E" w14:textId="59A06388" w:rsidR="004F6224" w:rsidRDefault="00AD30B0">
      <w:pPr>
        <w:pStyle w:val="P68B1DB1-Heading210"/>
      </w:pPr>
      <w:r>
        <w:rPr>
          <w:rFonts w:ascii="Cambria" w:eastAsia="Cambria" w:hAnsi="Cambria" w:cs="Cambria"/>
        </w:rPr>
        <w:t>4.3</w:t>
      </w:r>
      <w:r>
        <w:rPr>
          <w:rFonts w:ascii="Times New Roman" w:eastAsia="Times New Roman" w:hAnsi="Times New Roman" w:cs="Times New Roman"/>
          <w:sz w:val="14"/>
        </w:rPr>
        <w:t xml:space="preserve">        </w:t>
      </w:r>
      <w:r>
        <w:rPr>
          <w:rFonts w:ascii="Cambria" w:eastAsia="Cambria" w:hAnsi="Cambria" w:cs="Cambria"/>
        </w:rPr>
        <w:t>¿Qué dejar de hacer?</w:t>
      </w:r>
    </w:p>
    <w:p w14:paraId="7E0D5B87" w14:textId="04EF035A" w:rsidR="004F6224" w:rsidRDefault="004F6224">
      <w:pPr>
        <w:spacing w:after="120" w:line="300" w:lineRule="atLeast"/>
        <w:jc w:val="both"/>
      </w:pPr>
    </w:p>
    <w:sectPr w:rsidR="004F6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DF2"/>
    <w:multiLevelType w:val="hybridMultilevel"/>
    <w:tmpl w:val="05A61C5A"/>
    <w:lvl w:ilvl="0" w:tplc="EA2404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74F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4E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4D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CF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122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E2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A4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8C4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6409"/>
    <w:multiLevelType w:val="multilevel"/>
    <w:tmpl w:val="0E72926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0DC6"/>
    <w:multiLevelType w:val="multilevel"/>
    <w:tmpl w:val="3576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B4F0B"/>
    <w:multiLevelType w:val="hybridMultilevel"/>
    <w:tmpl w:val="403A52D8"/>
    <w:lvl w:ilvl="0" w:tplc="C278E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A6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09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C3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A0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00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4B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2E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D0F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7223C"/>
    <w:multiLevelType w:val="multilevel"/>
    <w:tmpl w:val="015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3803FA"/>
    <w:multiLevelType w:val="hybridMultilevel"/>
    <w:tmpl w:val="7AEAF52A"/>
    <w:lvl w:ilvl="0" w:tplc="15C8ED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C6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CF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CB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AE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83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61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29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50E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E143C"/>
    <w:multiLevelType w:val="multilevel"/>
    <w:tmpl w:val="092C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33EA2"/>
    <w:multiLevelType w:val="hybridMultilevel"/>
    <w:tmpl w:val="0A68AE3A"/>
    <w:lvl w:ilvl="0" w:tplc="54C0C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D8B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CB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1EC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429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7EE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DA3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22D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F4B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807170E"/>
    <w:multiLevelType w:val="hybridMultilevel"/>
    <w:tmpl w:val="2EDC392E"/>
    <w:lvl w:ilvl="0" w:tplc="EF32E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8F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A9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00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C4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66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781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0D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F44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6037F"/>
    <w:multiLevelType w:val="multilevel"/>
    <w:tmpl w:val="C096AE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C8"/>
    <w:rsid w:val="00012F3F"/>
    <w:rsid w:val="00057EC8"/>
    <w:rsid w:val="000D5000"/>
    <w:rsid w:val="002F64B2"/>
    <w:rsid w:val="00381703"/>
    <w:rsid w:val="0041237A"/>
    <w:rsid w:val="00447172"/>
    <w:rsid w:val="004F6224"/>
    <w:rsid w:val="00500228"/>
    <w:rsid w:val="006A32E6"/>
    <w:rsid w:val="00857CFD"/>
    <w:rsid w:val="009460A8"/>
    <w:rsid w:val="00AD30B0"/>
    <w:rsid w:val="00C22408"/>
    <w:rsid w:val="00E800E1"/>
    <w:rsid w:val="00F43A03"/>
    <w:rsid w:val="00F64328"/>
    <w:rsid w:val="16988167"/>
    <w:rsid w:val="40CEF6F5"/>
    <w:rsid w:val="4C447833"/>
    <w:rsid w:val="5D6D6C01"/>
    <w:rsid w:val="6404BEF2"/>
    <w:rsid w:val="64912966"/>
    <w:rsid w:val="6B06E9E9"/>
    <w:rsid w:val="6C53F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67AA8"/>
  <w15:docId w15:val="{70533457-BA69-4D5E-913A-15060767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2408"/>
    <w:rPr>
      <w:color w:val="0000FF"/>
      <w:u w:val="single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68B1DB1-Normal1">
    <w:name w:val="P68B1DB1-Normal1"/>
    <w:basedOn w:val="Normal"/>
    <w:rPr>
      <w:b/>
      <w:sz w:val="28"/>
    </w:rPr>
  </w:style>
  <w:style w:type="paragraph" w:customStyle="1" w:styleId="P68B1DB1-Normal2">
    <w:name w:val="P68B1DB1-Normal2"/>
    <w:basedOn w:val="Normal"/>
    <w:rPr>
      <w:b/>
    </w:rPr>
  </w:style>
  <w:style w:type="paragraph" w:customStyle="1" w:styleId="P68B1DB1-Normal3">
    <w:name w:val="P68B1DB1-Normal3"/>
    <w:basedOn w:val="Normal"/>
    <w:rPr>
      <w:rFonts w:eastAsiaTheme="minorEastAsia"/>
    </w:rPr>
  </w:style>
  <w:style w:type="paragraph" w:customStyle="1" w:styleId="P68B1DB1-Normal4">
    <w:name w:val="P68B1DB1-Normal4"/>
    <w:basedOn w:val="Normal"/>
    <w:rPr>
      <w:rFonts w:ascii="Calibri" w:eastAsia="Calibri" w:hAnsi="Calibri" w:cs="Calibri"/>
      <w:b/>
      <w:color w:val="000000" w:themeColor="text1"/>
    </w:rPr>
  </w:style>
  <w:style w:type="paragraph" w:customStyle="1" w:styleId="P68B1DB1-ListParagraph5">
    <w:name w:val="P68B1DB1-ListParagraph5"/>
    <w:basedOn w:val="ListParagraph"/>
    <w:rPr>
      <w:rFonts w:ascii="Calibri" w:eastAsia="Calibri" w:hAnsi="Calibri" w:cs="Calibri"/>
      <w:color w:val="000000" w:themeColor="text1"/>
    </w:rPr>
  </w:style>
  <w:style w:type="paragraph" w:customStyle="1" w:styleId="P68B1DB1-Normal6">
    <w:name w:val="P68B1DB1-Normal6"/>
    <w:basedOn w:val="Normal"/>
    <w:rPr>
      <w:rFonts w:ascii="Calibri" w:eastAsia="Calibri" w:hAnsi="Calibri" w:cs="Calibri"/>
      <w:color w:val="000000" w:themeColor="text1"/>
    </w:rPr>
  </w:style>
  <w:style w:type="paragraph" w:customStyle="1" w:styleId="P68B1DB1-Normal7">
    <w:name w:val="P68B1DB1-Normal7"/>
    <w:basedOn w:val="Normal"/>
    <w:rPr>
      <w:rFonts w:ascii="Calibri" w:eastAsia="Calibri" w:hAnsi="Calibri" w:cs="Calibri"/>
      <w:b/>
      <w:sz w:val="28"/>
    </w:rPr>
  </w:style>
  <w:style w:type="paragraph" w:customStyle="1" w:styleId="P68B1DB1-Normal8">
    <w:name w:val="P68B1DB1-Normal8"/>
    <w:basedOn w:val="Normal"/>
    <w:rPr>
      <w:rFonts w:ascii="Calibri" w:eastAsia="Calibri" w:hAnsi="Calibri" w:cs="Calibri"/>
      <w:b/>
    </w:rPr>
  </w:style>
  <w:style w:type="paragraph" w:customStyle="1" w:styleId="P68B1DB1-Normal9">
    <w:name w:val="P68B1DB1-Normal9"/>
    <w:basedOn w:val="Normal"/>
    <w:rPr>
      <w:rFonts w:ascii="Calibri" w:eastAsia="Calibri" w:hAnsi="Calibri" w:cs="Calibri"/>
    </w:rPr>
  </w:style>
  <w:style w:type="paragraph" w:customStyle="1" w:styleId="P68B1DB1-Heading210">
    <w:name w:val="P68B1DB1-Heading210"/>
    <w:basedOn w:val="Heading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7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0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33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56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9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52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94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58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5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0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8c898a-470e-4f98-bd8f-1c48d22523a2">
      <UserInfo>
        <DisplayName>Paul Hotham</DisplayName>
        <AccountId>76</AccountId>
        <AccountType/>
      </UserInfo>
    </SharedWithUsers>
    <b4d9ed92b3324a2c991ed5c6781ab470 xmlns="a48c898a-470e-4f98-bd8f-1c48d22523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LDHome</TermName>
          <TermId xmlns="http://schemas.microsoft.com/office/infopath/2007/PartnerControls">7b86cbc1-d3fb-4c55-9311-b124cfb2c2f6</TermId>
        </TermInfo>
      </Terms>
    </b4d9ed92b3324a2c991ed5c6781ab470>
    <IconOverlay xmlns="http://schemas.microsoft.com/sharepoint/v4" xsi:nil="true"/>
    <TaxCatchAll xmlns="a48c898a-470e-4f98-bd8f-1c48d22523a2">
      <Value>160</Value>
    </TaxCatchAll>
    <CategoryDescription xmlns="http://schemas.microsoft.com/sharepoint.v3">Template to complete when conducting a lessons learned exercise</CategoryDescription>
    <lcf76f155ced4ddcb4097134ff3c332f xmlns="abd8b85e-7906-4a45-9538-1819356b4395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39DC9CCDBEB489669F7A3B937C203" ma:contentTypeVersion="33" ma:contentTypeDescription="Create a new document." ma:contentTypeScope="" ma:versionID="74613461fec1aaaf248e8d8955bffd77">
  <xsd:schema xmlns:xsd="http://www.w3.org/2001/XMLSchema" xmlns:xs="http://www.w3.org/2001/XMLSchema" xmlns:p="http://schemas.microsoft.com/office/2006/metadata/properties" xmlns:ns2="a48c898a-470e-4f98-bd8f-1c48d22523a2" xmlns:ns3="http://schemas.microsoft.com/sharepoint.v3" xmlns:ns4="http://schemas.microsoft.com/sharepoint/v4" xmlns:ns5="abd8b85e-7906-4a45-9538-1819356b4395" targetNamespace="http://schemas.microsoft.com/office/2006/metadata/properties" ma:root="true" ma:fieldsID="328c3d8d89690ad58fc884aaa67f0e6e" ns2:_="" ns3:_="" ns4:_="" ns5:_="">
    <xsd:import namespace="a48c898a-470e-4f98-bd8f-1c48d22523a2"/>
    <xsd:import namespace="http://schemas.microsoft.com/sharepoint.v3"/>
    <xsd:import namespace="http://schemas.microsoft.com/sharepoint/v4"/>
    <xsd:import namespace="abd8b85e-7906-4a45-9538-1819356b439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2:SharedWithUsers" minOccurs="0"/>
                <xsd:element ref="ns2:SharedWithDetails" minOccurs="0"/>
                <xsd:element ref="ns2:b4d9ed92b3324a2c991ed5c6781ab470" minOccurs="0"/>
                <xsd:element ref="ns2:TaxCatchAll" minOccurs="0"/>
                <xsd:element ref="ns4:IconOverlay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MediaServiceGenerationTime" minOccurs="0"/>
                <xsd:element ref="ns5:MediaServiceEventHashCode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c898a-470e-4f98-bd8f-1c48d22523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b4d9ed92b3324a2c991ed5c6781ab470" ma:index="15" nillable="true" ma:taxonomy="true" ma:internalName="b4d9ed92b3324a2c991ed5c6781ab470" ma:taxonomyFieldName="Feature_x0020_in" ma:displayName="Feature in" ma:default="" ma:fieldId="{b4d9ed92-b332-4a2c-991e-d5c6781ab470}" ma:taxonomyMulti="true" ma:sspId="265aed29-76fb-43aa-b3f4-9c22e09c3261" ma:termSetId="ba9b2a3c-3bd7-420f-ba65-45218b403a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421f59b4-c23c-4e03-92b5-b0afbdac5791}" ma:internalName="TaxCatchAll" ma:showField="CatchAllData" ma:web="a48c898a-470e-4f98-bd8f-1c48d22523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1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8b85e-7906-4a45-9538-1819356b4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65aed29-76fb-43aa-b3f4-9c22e09c32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094EF-AB30-43B0-B906-F60DA36EE436}">
  <ds:schemaRefs>
    <ds:schemaRef ds:uri="http://schemas.microsoft.com/office/2006/metadata/properties"/>
    <ds:schemaRef ds:uri="http://schemas.microsoft.com/office/infopath/2007/PartnerControls"/>
    <ds:schemaRef ds:uri="a48c898a-470e-4f98-bd8f-1c48d22523a2"/>
    <ds:schemaRef ds:uri="http://schemas.microsoft.com/sharepoint/v4"/>
    <ds:schemaRef ds:uri="http://schemas.microsoft.com/sharepoint.v3"/>
    <ds:schemaRef ds:uri="abd8b85e-7906-4a45-9538-1819356b4395"/>
  </ds:schemaRefs>
</ds:datastoreItem>
</file>

<file path=customXml/itemProps2.xml><?xml version="1.0" encoding="utf-8"?>
<ds:datastoreItem xmlns:ds="http://schemas.openxmlformats.org/officeDocument/2006/customXml" ds:itemID="{9B1E1F82-1F30-4548-A813-5D0C121C5C1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A63F279-CB60-45F5-B2C6-C10207BA4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22802D-1A40-4AEA-B3B0-225DCEE2F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c898a-470e-4f98-bd8f-1c48d22523a2"/>
    <ds:schemaRef ds:uri="http://schemas.microsoft.com/sharepoint.v3"/>
    <ds:schemaRef ds:uri="http://schemas.microsoft.com/sharepoint/v4"/>
    <ds:schemaRef ds:uri="abd8b85e-7906-4a45-9538-1819356b4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5559</Characters>
  <Application>Microsoft Office Word</Application>
  <DocSecurity>2</DocSecurity>
  <Lines>46</Lines>
  <Paragraphs>13</Paragraphs>
  <ScaleCrop>false</ScaleCrop>
  <Company>Microsoft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Hodgkinson</dc:creator>
  <cp:lastModifiedBy>Martha Kimmel</cp:lastModifiedBy>
  <cp:revision>8</cp:revision>
  <cp:lastPrinted>2015-05-26T15:52:00Z</cp:lastPrinted>
  <dcterms:created xsi:type="dcterms:W3CDTF">2021-01-11T11:36:00Z</dcterms:created>
  <dcterms:modified xsi:type="dcterms:W3CDTF">2025-04-02T16:43:00Z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0x010100B3739DC9CCDBEB489669F7A3B937C203</vt:lpwstr>
  </property>
  <property fmtid="{D5CDD505-2E9C-101B-9397-08002B2CF9AE}" pid="3" name="Feature in">
    <vt:lpwstr>160;#LDHome|7b86cbc1-d3fb-4c55-9311-b124cfb2c2f6</vt:lpwstr>
  </property>
  <property fmtid="{D5CDD505-2E9C-101B-9397-08002B2CF9AE}" pid="4" name="MediaServiceImageTags">
    <vt:lpwstr/>
  </property>
</Properties>
</file>