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EB" w:rsidRPr="000A2345" w:rsidRDefault="005868EB" w:rsidP="005868EB">
      <w:pPr>
        <w:pStyle w:val="Heading1"/>
      </w:pPr>
      <w:bookmarkStart w:id="0" w:name="_Toc427077446"/>
      <w:bookmarkStart w:id="1" w:name="_GoBack"/>
      <w:bookmarkEnd w:id="1"/>
      <w:r>
        <w:t xml:space="preserve">ANNEX 3 – </w:t>
      </w:r>
      <w:r w:rsidRPr="000A2345">
        <w:t>Standard/recommended sections of a Policy &amp; Procedures manual</w:t>
      </w:r>
      <w:bookmarkEnd w:id="0"/>
    </w:p>
    <w:p w:rsidR="005868EB" w:rsidRDefault="005868EB" w:rsidP="005868EB">
      <w:pPr>
        <w:jc w:val="both"/>
      </w:pP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General Principles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Financial Policies &amp; Procedures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Local Finance Role &amp; Responsibilities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Chart of Accounts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Budgeting and Forecasting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Forecasting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Budgeting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Grant/Project Management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Grant/Project Costing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Ongoing Financial Management of Grants/Projects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Month-end &amp; Financial Reporting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Month-end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Financial Reporting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Procurement, Purchasing &amp; Contracts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Procurement Procedure</w:t>
      </w:r>
      <w:r>
        <w:tab/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Contracts Procedure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Staff Expenses, Cash Advances &amp; Per Diems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Allowable Expenses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Unallowable Expenses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Expense Claim Procedure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Cash Advances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Per Diems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Compliance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Payments, Banking &amp; Cash Management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Payments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Cash Handling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Receiving Income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Transfers from other FFI offices</w:t>
      </w:r>
      <w:r>
        <w:tab/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Reconciliations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Petty Cash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Payroll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Record-Keeping &amp; Archiving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Statutory Compliance, Audit &amp; External Reporting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Statutory Registrations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Statutory Compliance</w:t>
      </w:r>
    </w:p>
    <w:p w:rsidR="005868EB" w:rsidRDefault="005868EB" w:rsidP="005868EB">
      <w:pPr>
        <w:pStyle w:val="ListParagraph"/>
        <w:numPr>
          <w:ilvl w:val="1"/>
          <w:numId w:val="1"/>
        </w:numPr>
        <w:spacing w:before="240"/>
      </w:pPr>
      <w:r>
        <w:t>Audit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Insurance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Fixed Assets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Personnel &amp; HR Management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Information Technology &amp; Networking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Operational Health &amp; Safety</w:t>
      </w:r>
    </w:p>
    <w:p w:rsidR="005868EB" w:rsidRDefault="005868EB" w:rsidP="005868EB">
      <w:pPr>
        <w:pStyle w:val="ListParagraph"/>
        <w:numPr>
          <w:ilvl w:val="0"/>
          <w:numId w:val="1"/>
        </w:numPr>
        <w:spacing w:before="240"/>
      </w:pPr>
      <w:r>
        <w:t>Staff Travel</w:t>
      </w:r>
    </w:p>
    <w:p w:rsidR="003002E3" w:rsidRDefault="005868EB" w:rsidP="005868EB">
      <w:pPr>
        <w:pStyle w:val="ListParagraph"/>
        <w:numPr>
          <w:ilvl w:val="0"/>
          <w:numId w:val="1"/>
        </w:numPr>
        <w:spacing w:before="240"/>
      </w:pPr>
      <w:r>
        <w:t>Risk Management</w:t>
      </w:r>
    </w:p>
    <w:sectPr w:rsidR="003002E3" w:rsidSect="005868EB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0C31"/>
    <w:multiLevelType w:val="hybridMultilevel"/>
    <w:tmpl w:val="536A5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EB"/>
    <w:rsid w:val="003002E3"/>
    <w:rsid w:val="005868EB"/>
    <w:rsid w:val="00A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EB"/>
  </w:style>
  <w:style w:type="paragraph" w:styleId="Heading1">
    <w:name w:val="heading 1"/>
    <w:basedOn w:val="Normal"/>
    <w:next w:val="Normal"/>
    <w:link w:val="Heading1Char"/>
    <w:uiPriority w:val="9"/>
    <w:qFormat/>
    <w:rsid w:val="005868E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8EB"/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86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EB"/>
  </w:style>
  <w:style w:type="paragraph" w:styleId="Heading1">
    <w:name w:val="heading 1"/>
    <w:basedOn w:val="Normal"/>
    <w:next w:val="Normal"/>
    <w:link w:val="Heading1Char"/>
    <w:uiPriority w:val="9"/>
    <w:qFormat/>
    <w:rsid w:val="005868E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8EB"/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8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BDBD-54D7-4FDA-BAE6-70125810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Calcada</dc:creator>
  <cp:lastModifiedBy>Laura Owens</cp:lastModifiedBy>
  <cp:revision>2</cp:revision>
  <dcterms:created xsi:type="dcterms:W3CDTF">2016-04-19T09:36:00Z</dcterms:created>
  <dcterms:modified xsi:type="dcterms:W3CDTF">2016-04-19T09:36:00Z</dcterms:modified>
</cp:coreProperties>
</file>